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2523" w14:textId="77777777" w:rsidR="00F94CB1" w:rsidRDefault="00F94CB1" w:rsidP="00F94CB1"/>
    <w:p w14:paraId="264B7FBD" w14:textId="77777777" w:rsidR="00F94CB1" w:rsidRDefault="00F94CB1" w:rsidP="00F94CB1"/>
    <w:p w14:paraId="39704F33" w14:textId="77777777" w:rsidR="00F94CB1" w:rsidRDefault="00F94CB1" w:rsidP="00F94CB1"/>
    <w:p w14:paraId="249B33B1" w14:textId="77777777" w:rsidR="00F94CB1" w:rsidRDefault="00F94CB1" w:rsidP="00F94CB1"/>
    <w:p w14:paraId="711AD0CF" w14:textId="77777777" w:rsidR="00F94CB1" w:rsidRDefault="00F94CB1" w:rsidP="00F94CB1"/>
    <w:p w14:paraId="2CC9884A" w14:textId="77777777" w:rsidR="00F94CB1" w:rsidRDefault="00F94CB1" w:rsidP="00F94CB1"/>
    <w:p w14:paraId="4A7E58B9" w14:textId="77777777" w:rsidR="00F94CB1" w:rsidRDefault="00F94CB1" w:rsidP="00F94CB1"/>
    <w:p w14:paraId="6C1E82E0" w14:textId="77777777" w:rsidR="00F94CB1" w:rsidRDefault="00F94CB1" w:rsidP="00F94CB1"/>
    <w:p w14:paraId="698FCB20" w14:textId="77777777" w:rsidR="00F94CB1" w:rsidRDefault="00F94CB1" w:rsidP="00F94CB1"/>
    <w:p w14:paraId="4C707F4A" w14:textId="77C74136" w:rsidR="00F94CB1" w:rsidRPr="00C24029" w:rsidRDefault="00F94CB1" w:rsidP="00F94CB1">
      <w:pPr>
        <w:rPr>
          <w:color w:val="2F5496" w:themeColor="accent1" w:themeShade="BF"/>
          <w:sz w:val="48"/>
        </w:rPr>
      </w:pPr>
      <w:r w:rsidRPr="005A0649">
        <w:rPr>
          <w:color w:val="2F5496" w:themeColor="accent1" w:themeShade="BF"/>
          <w:sz w:val="48"/>
        </w:rPr>
        <w:t xml:space="preserve">ALLEGATO </w:t>
      </w:r>
      <w:r w:rsidR="00B62048">
        <w:rPr>
          <w:color w:val="2F5496" w:themeColor="accent1" w:themeShade="BF"/>
          <w:sz w:val="48"/>
        </w:rPr>
        <w:t>D</w:t>
      </w:r>
    </w:p>
    <w:p w14:paraId="12D00C9B" w14:textId="77777777" w:rsidR="00F94CB1" w:rsidRDefault="00F94CB1" w:rsidP="00F94CB1"/>
    <w:p w14:paraId="52805E2A" w14:textId="77777777" w:rsidR="00F94CB1" w:rsidRDefault="00F94CB1" w:rsidP="00F94CB1"/>
    <w:p w14:paraId="21A95284" w14:textId="77777777" w:rsidR="00F94CB1" w:rsidRDefault="00F94CB1" w:rsidP="00F94CB1"/>
    <w:p w14:paraId="28F9CB34" w14:textId="77777777" w:rsidR="00F94CB1" w:rsidRDefault="00F94CB1" w:rsidP="00F94CB1"/>
    <w:p w14:paraId="6A13EBAD" w14:textId="026D1AB8" w:rsidR="00F94CB1" w:rsidRDefault="00B62048" w:rsidP="00F94CB1">
      <w:r>
        <w:rPr>
          <w:color w:val="2F5496" w:themeColor="accent1" w:themeShade="BF"/>
          <w:sz w:val="44"/>
        </w:rPr>
        <w:t>Aggiornamento della Convenzione di gestione ai sensi della Deliberazione ARERA 580/2019/R/IDR</w:t>
      </w:r>
      <w:r w:rsidR="00011383">
        <w:rPr>
          <w:color w:val="2F5496" w:themeColor="accent1" w:themeShade="BF"/>
          <w:sz w:val="44"/>
        </w:rPr>
        <w:t xml:space="preserve"> (articolo 2 comma 3 del Metodo MTI-3)</w:t>
      </w:r>
    </w:p>
    <w:p w14:paraId="19453F2A" w14:textId="77777777" w:rsidR="00F94CB1" w:rsidRDefault="00F94CB1" w:rsidP="00F94CB1"/>
    <w:p w14:paraId="1094F6A4" w14:textId="77777777" w:rsidR="00F94CB1" w:rsidRDefault="00F94CB1" w:rsidP="00F94CB1"/>
    <w:p w14:paraId="3DC6B6E3" w14:textId="43912E3C" w:rsidR="00F94CB1" w:rsidRDefault="00F94CB1" w:rsidP="00F94CB1">
      <w:pPr>
        <w:spacing w:after="160" w:line="259" w:lineRule="auto"/>
      </w:pPr>
    </w:p>
    <w:p w14:paraId="1F97B386" w14:textId="059E8AEB" w:rsidR="00B62048" w:rsidRDefault="00B62048">
      <w:pPr>
        <w:spacing w:after="160" w:line="259" w:lineRule="auto"/>
        <w:jc w:val="left"/>
      </w:pPr>
      <w:r>
        <w:br w:type="page"/>
      </w:r>
    </w:p>
    <w:p w14:paraId="3233F1A8" w14:textId="77777777" w:rsidR="00011383" w:rsidRPr="0072142F" w:rsidRDefault="00011383" w:rsidP="00011383">
      <w:pPr>
        <w:pStyle w:val="Titolo2"/>
        <w:jc w:val="both"/>
      </w:pPr>
      <w:bookmarkStart w:id="0" w:name="_Toc469647308"/>
      <w:r w:rsidRPr="0072142F">
        <w:lastRenderedPageBreak/>
        <w:t xml:space="preserve">Articolo 10 </w:t>
      </w:r>
      <w:r>
        <w:t xml:space="preserve">- </w:t>
      </w:r>
      <w:r w:rsidRPr="0072142F">
        <w:t>Misure per il mantenimento dell’equilibrio economico-finanziario</w:t>
      </w:r>
      <w:bookmarkEnd w:id="0"/>
      <w:r w:rsidRPr="0072142F">
        <w:t xml:space="preserve"> </w:t>
      </w:r>
    </w:p>
    <w:p w14:paraId="0DCA90F4" w14:textId="77777777" w:rsidR="00011383" w:rsidRPr="0072142F" w:rsidRDefault="00011383" w:rsidP="00011383">
      <w:pPr>
        <w:pStyle w:val="Default"/>
        <w:spacing w:before="120" w:after="120"/>
        <w:ind w:left="709" w:hanging="709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10.1 </w:t>
      </w:r>
      <w:r w:rsidRPr="0072142F">
        <w:rPr>
          <w:color w:val="auto"/>
          <w:sz w:val="23"/>
          <w:szCs w:val="23"/>
        </w:rPr>
        <w:tab/>
        <w:t xml:space="preserve">Le eventuali misure di riequilibrio, cui è consentito far ricorso nell'ordine di priorità di seguito indicato, sono: </w:t>
      </w:r>
    </w:p>
    <w:p w14:paraId="2F2788BB" w14:textId="77777777" w:rsidR="00011383" w:rsidRPr="0072142F" w:rsidRDefault="00011383" w:rsidP="00011383">
      <w:pPr>
        <w:pStyle w:val="Default"/>
        <w:spacing w:before="120" w:after="120"/>
        <w:ind w:left="1361" w:hanging="398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a) </w:t>
      </w:r>
      <w:r w:rsidRPr="0072142F">
        <w:rPr>
          <w:color w:val="auto"/>
          <w:sz w:val="23"/>
          <w:szCs w:val="23"/>
        </w:rPr>
        <w:tab/>
        <w:t xml:space="preserve">revisione della predisposizione tariffaria, secondo i criteri, le modalità e nei limiti ammessi dalla regolazione dell'AEEGSI, con particolare riferimento a: </w:t>
      </w:r>
    </w:p>
    <w:p w14:paraId="1AB5283B" w14:textId="77777777" w:rsidR="00011383" w:rsidRPr="0072142F" w:rsidRDefault="00011383" w:rsidP="00011383">
      <w:pPr>
        <w:pStyle w:val="Default"/>
        <w:spacing w:before="120" w:after="120"/>
        <w:ind w:left="2081" w:hanging="360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- trattamento dei costi di morosità; </w:t>
      </w:r>
    </w:p>
    <w:p w14:paraId="32D51F0D" w14:textId="77777777" w:rsidR="00011383" w:rsidRPr="0072142F" w:rsidRDefault="00011383" w:rsidP="00011383">
      <w:pPr>
        <w:pStyle w:val="Default"/>
        <w:spacing w:before="120" w:after="120"/>
        <w:ind w:left="2081" w:hanging="360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- allocazione temporale dei conguagli; </w:t>
      </w:r>
    </w:p>
    <w:p w14:paraId="3514F15E" w14:textId="77777777" w:rsidR="00011383" w:rsidRPr="0072142F" w:rsidRDefault="00011383" w:rsidP="00011383">
      <w:pPr>
        <w:pStyle w:val="Default"/>
        <w:spacing w:before="120" w:after="120"/>
        <w:ind w:left="2081" w:hanging="360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- rideterminazione del deposito cauzionale; </w:t>
      </w:r>
    </w:p>
    <w:p w14:paraId="7F7C6D19" w14:textId="77777777" w:rsidR="00011383" w:rsidRPr="0072142F" w:rsidRDefault="00011383" w:rsidP="00011383">
      <w:pPr>
        <w:pStyle w:val="Default"/>
        <w:spacing w:before="120" w:after="120"/>
        <w:ind w:left="2081" w:hanging="360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- revisione dell’articolazione tariffaria; </w:t>
      </w:r>
    </w:p>
    <w:p w14:paraId="637262FF" w14:textId="77777777" w:rsidR="00011383" w:rsidRPr="0072142F" w:rsidRDefault="00011383" w:rsidP="00011383">
      <w:pPr>
        <w:pStyle w:val="Default"/>
        <w:spacing w:before="120" w:after="120"/>
        <w:ind w:left="2081" w:hanging="360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- </w:t>
      </w:r>
      <w:r w:rsidRPr="00D45018">
        <w:rPr>
          <w:color w:val="auto"/>
          <w:sz w:val="23"/>
          <w:szCs w:val="23"/>
        </w:rPr>
        <w:t>rimodulazione del pagamento di canoni e mutui, sentiti i soggetti interessati.</w:t>
      </w:r>
      <w:r w:rsidRPr="0072142F">
        <w:rPr>
          <w:color w:val="auto"/>
          <w:sz w:val="23"/>
          <w:szCs w:val="23"/>
        </w:rPr>
        <w:t xml:space="preserve"> </w:t>
      </w:r>
    </w:p>
    <w:p w14:paraId="364CC7D9" w14:textId="77777777" w:rsidR="00011383" w:rsidRPr="0072142F" w:rsidRDefault="00011383" w:rsidP="00011383">
      <w:pPr>
        <w:pStyle w:val="Default"/>
        <w:spacing w:before="120" w:after="120"/>
        <w:ind w:left="1361" w:hanging="398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b) </w:t>
      </w:r>
      <w:r w:rsidRPr="0072142F">
        <w:rPr>
          <w:color w:val="auto"/>
          <w:sz w:val="23"/>
          <w:szCs w:val="23"/>
        </w:rPr>
        <w:tab/>
        <w:t>revisione del Programma degli Interventi, comunque garantendo il raggiungimento almeno dei livelli minimi di servizio, nonché il soddisfacimento della complessiva domanda dell’utenza;</w:t>
      </w:r>
    </w:p>
    <w:p w14:paraId="3A9BA94C" w14:textId="77777777" w:rsidR="00011383" w:rsidRPr="0072142F" w:rsidRDefault="00011383" w:rsidP="00011383">
      <w:pPr>
        <w:pStyle w:val="Default"/>
        <w:spacing w:before="120" w:after="120"/>
        <w:ind w:left="1361" w:hanging="398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c) </w:t>
      </w:r>
      <w:r w:rsidRPr="0072142F">
        <w:rPr>
          <w:color w:val="auto"/>
          <w:sz w:val="23"/>
          <w:szCs w:val="23"/>
        </w:rPr>
        <w:tab/>
        <w:t xml:space="preserve">estensione della durata dell'affidamento, ove ne ricorrano i presupposti previsti dalla presente convenzione; </w:t>
      </w:r>
    </w:p>
    <w:p w14:paraId="00BA9DCF" w14:textId="77777777" w:rsidR="00011383" w:rsidRPr="0072142F" w:rsidRDefault="00011383" w:rsidP="00011383">
      <w:pPr>
        <w:pStyle w:val="Default"/>
        <w:spacing w:before="120" w:after="120"/>
        <w:ind w:left="1361" w:hanging="398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d) </w:t>
      </w:r>
      <w:r w:rsidRPr="0072142F">
        <w:rPr>
          <w:color w:val="auto"/>
          <w:sz w:val="23"/>
          <w:szCs w:val="23"/>
        </w:rPr>
        <w:tab/>
        <w:t xml:space="preserve">richiesta di accesso alle misure di perequazione disciplinate dalla regolazione dell'AEEGSI, nei limiti previsti e in presenza dei requisiti fissati da quest'ultima; </w:t>
      </w:r>
    </w:p>
    <w:p w14:paraId="1244AF78" w14:textId="77777777" w:rsidR="00011383" w:rsidRPr="0072142F" w:rsidRDefault="00011383" w:rsidP="00011383">
      <w:pPr>
        <w:pStyle w:val="Default"/>
        <w:spacing w:before="120" w:after="120"/>
        <w:ind w:left="1361" w:hanging="398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e) </w:t>
      </w:r>
      <w:r w:rsidRPr="0072142F">
        <w:rPr>
          <w:color w:val="auto"/>
          <w:sz w:val="23"/>
          <w:szCs w:val="23"/>
        </w:rPr>
        <w:tab/>
        <w:t xml:space="preserve">eventuali ulteriori misure definite dalle parti. </w:t>
      </w:r>
    </w:p>
    <w:p w14:paraId="700C5AF2" w14:textId="2AE7E975" w:rsidR="00011383" w:rsidRDefault="00011383" w:rsidP="00011383">
      <w:pPr>
        <w:pStyle w:val="Default"/>
        <w:spacing w:before="120" w:after="120"/>
        <w:ind w:left="709" w:hanging="709"/>
        <w:jc w:val="both"/>
        <w:rPr>
          <w:color w:val="auto"/>
          <w:sz w:val="23"/>
          <w:szCs w:val="23"/>
        </w:rPr>
      </w:pPr>
      <w:r w:rsidRPr="0072142F">
        <w:rPr>
          <w:color w:val="auto"/>
          <w:sz w:val="23"/>
          <w:szCs w:val="23"/>
        </w:rPr>
        <w:t xml:space="preserve">10.2 </w:t>
      </w:r>
      <w:r w:rsidRPr="0072142F">
        <w:rPr>
          <w:color w:val="auto"/>
          <w:sz w:val="23"/>
          <w:szCs w:val="23"/>
        </w:rPr>
        <w:tab/>
        <w:t xml:space="preserve">Le misure di cui al presente articolo possono essere richieste anche congiuntamente. </w:t>
      </w:r>
    </w:p>
    <w:p w14:paraId="1DF3F85C" w14:textId="6C4D8ABA" w:rsidR="00011383" w:rsidRPr="00011383" w:rsidRDefault="00011383" w:rsidP="00011383">
      <w:pPr>
        <w:pStyle w:val="Default"/>
        <w:spacing w:before="120" w:after="120"/>
        <w:ind w:left="709" w:hanging="709"/>
        <w:jc w:val="both"/>
        <w:rPr>
          <w:color w:val="FF0000"/>
          <w:sz w:val="23"/>
          <w:szCs w:val="23"/>
        </w:rPr>
      </w:pPr>
      <w:r w:rsidRPr="00011383">
        <w:rPr>
          <w:color w:val="FF0000"/>
          <w:sz w:val="23"/>
          <w:szCs w:val="23"/>
        </w:rPr>
        <w:t>10.3</w:t>
      </w:r>
      <w:r w:rsidRPr="00011383">
        <w:rPr>
          <w:color w:val="FF0000"/>
          <w:sz w:val="23"/>
          <w:szCs w:val="23"/>
        </w:rPr>
        <w:tab/>
        <w:t>Nei casi in cui, nell’ambito del periodo regolatorio pro tempore vigente, non sia possibile valutare compiutamente gli effetti del ricorso alle misure per il mantenimento dell’equilibrio economico-finanziario di cui al precedente comma 10.1, l’adozione delle predette misure avviene contestualmente all’elaborazione di una pianificazione di durata commisurata al ripristino di dette condizioni di equilibrio e composta degli atti e delle informazioni che costituiscono la proposta tariffaria.</w:t>
      </w:r>
    </w:p>
    <w:p w14:paraId="2E440102" w14:textId="77777777" w:rsidR="006254F7" w:rsidRPr="00011383" w:rsidRDefault="006254F7" w:rsidP="00011383">
      <w:pPr>
        <w:pStyle w:val="Default"/>
        <w:spacing w:before="120" w:after="120"/>
        <w:ind w:left="709" w:hanging="709"/>
        <w:jc w:val="both"/>
        <w:rPr>
          <w:color w:val="auto"/>
          <w:sz w:val="23"/>
          <w:szCs w:val="23"/>
        </w:rPr>
      </w:pPr>
    </w:p>
    <w:sectPr w:rsidR="006254F7" w:rsidRPr="00011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B1"/>
    <w:rsid w:val="00011383"/>
    <w:rsid w:val="006254F7"/>
    <w:rsid w:val="006511B9"/>
    <w:rsid w:val="00AA4CE1"/>
    <w:rsid w:val="00B62048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91E"/>
  <w15:chartTrackingRefBased/>
  <w15:docId w15:val="{530B301B-2998-417D-85B6-E08B5D0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CB1"/>
    <w:pPr>
      <w:spacing w:after="0" w:line="276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1383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="Times New Roman"/>
      <w:b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11383"/>
    <w:rPr>
      <w:rFonts w:ascii="Times New Roman" w:eastAsiaTheme="majorEastAsia" w:hAnsi="Times New Roman" w:cs="Times New Roman"/>
      <w:b/>
      <w:sz w:val="23"/>
      <w:szCs w:val="23"/>
    </w:rPr>
  </w:style>
  <w:style w:type="paragraph" w:customStyle="1" w:styleId="Default">
    <w:name w:val="Default"/>
    <w:rsid w:val="0001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Aspiranti</dc:creator>
  <cp:keywords/>
  <dc:description/>
  <cp:lastModifiedBy>ilaria russo</cp:lastModifiedBy>
  <cp:revision>2</cp:revision>
  <dcterms:created xsi:type="dcterms:W3CDTF">2020-12-10T16:11:00Z</dcterms:created>
  <dcterms:modified xsi:type="dcterms:W3CDTF">2020-12-10T16:11:00Z</dcterms:modified>
</cp:coreProperties>
</file>